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50" w:rsidRDefault="00714A50" w:rsidP="00714A50">
      <w:pPr>
        <w:pStyle w:val="Default"/>
      </w:pPr>
    </w:p>
    <w:p w:rsidR="0013245D" w:rsidRDefault="0013245D" w:rsidP="0013245D">
      <w:pPr>
        <w:pStyle w:val="Subtitle"/>
        <w:jc w:val="center"/>
        <w:rPr>
          <w:b/>
          <w:bCs/>
          <w:sz w:val="32"/>
          <w:szCs w:val="32"/>
        </w:rPr>
      </w:pPr>
      <w:r w:rsidRPr="0013245D">
        <w:rPr>
          <w:b/>
          <w:bCs/>
          <w:sz w:val="32"/>
          <w:szCs w:val="32"/>
        </w:rPr>
        <w:t>Atomic Absorption Spectroscopy</w:t>
      </w:r>
    </w:p>
    <w:p w:rsidR="0013245D" w:rsidRPr="0013245D" w:rsidRDefault="0013245D" w:rsidP="0013245D">
      <w:pPr>
        <w:pStyle w:val="Default"/>
        <w:spacing w:line="480" w:lineRule="auto"/>
        <w:jc w:val="center"/>
      </w:pPr>
      <w:r w:rsidRPr="007E3B67">
        <w:rPr>
          <w:b/>
          <w:bCs/>
          <w:color w:val="E80061" w:themeColor="accent1" w:themeShade="BF"/>
        </w:rPr>
        <w:t>Make/</w:t>
      </w:r>
      <w:proofErr w:type="gramStart"/>
      <w:r w:rsidRPr="007E3B67">
        <w:rPr>
          <w:b/>
          <w:bCs/>
          <w:color w:val="E80061" w:themeColor="accent1" w:themeShade="BF"/>
        </w:rPr>
        <w:t>Model :</w:t>
      </w:r>
      <w:proofErr w:type="gramEnd"/>
      <w:r w:rsidRPr="00714A50">
        <w:rPr>
          <w:b/>
          <w:bCs/>
        </w:rPr>
        <w:t xml:space="preserve"> </w:t>
      </w:r>
      <w:r w:rsidRPr="007E3B67">
        <w:rPr>
          <w:color w:val="E80061" w:themeColor="accent1" w:themeShade="BF"/>
        </w:rPr>
        <w:t>Shimadzu /AA-6800</w:t>
      </w:r>
    </w:p>
    <w:p w:rsidR="0013245D" w:rsidRPr="004923E2" w:rsidRDefault="0013245D" w:rsidP="004923E2">
      <w:pPr>
        <w:jc w:val="center"/>
      </w:pPr>
      <w:r w:rsidRPr="00E77561">
        <w:rPr>
          <w:noProof/>
          <w:lang w:bidi="hi-IN"/>
        </w:rPr>
        <w:drawing>
          <wp:inline distT="0" distB="0" distL="0" distR="0">
            <wp:extent cx="4614545" cy="316039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534400" cy="5638800"/>
                      <a:chOff x="228600" y="762000"/>
                      <a:chExt cx="8534400" cy="5638800"/>
                    </a:xfrm>
                  </a:grpSpPr>
                  <a:grpSp>
                    <a:nvGrpSpPr>
                      <a:cNvPr id="2" name="Group 7"/>
                      <a:cNvGrpSpPr>
                        <a:grpSpLocks/>
                      </a:cNvGrpSpPr>
                    </a:nvGrpSpPr>
                    <a:grpSpPr bwMode="auto">
                      <a:xfrm>
                        <a:off x="228600" y="762000"/>
                        <a:ext cx="8534400" cy="5638800"/>
                        <a:chOff x="192" y="432"/>
                        <a:chExt cx="5376" cy="3360"/>
                      </a:xfrm>
                    </a:grpSpPr>
                    <a:pic>
                      <a:nvPicPr>
                        <a:cNvPr id="198660" name="Picture 4"/>
                        <a:cNvPicPr>
                          <a:picLocks noChangeAspect="1" noChangeArrowheads="1"/>
                        </a:cNvPicPr>
                      </a:nvPicPr>
                      <a:blipFill>
                        <a:blip r:embed="rId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92" y="432"/>
                          <a:ext cx="5376" cy="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198662" name="Rectangle 6"/>
                        <a:cNvSpPr>
                          <a:spLocks noChangeArrowheads="1"/>
                        </a:cNvSpPr>
                      </a:nvSpPr>
                      <a:spPr bwMode="auto">
                        <a:xfrm rot="-999348">
                          <a:off x="2448" y="2928"/>
                          <a:ext cx="2256" cy="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lnSpc>
                                <a:spcPct val="80000"/>
                              </a:lnSpc>
                            </a:pPr>
                            <a:r>
                              <a:rPr lang="en-US" sz="1600" b="1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Atomic Absorption</a:t>
                            </a:r>
                            <a:br>
                              <a:rPr lang="en-US" sz="1600" b="1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</a:br>
                            <a:r>
                              <a:rPr lang="en-US" sz="1600" b="1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  <a:t> Spectrophotometer SHIMADZU 6800</a:t>
                            </a:r>
                            <a:br>
                              <a:rPr lang="en-US" sz="1600" b="1">
                                <a:solidFill>
                                  <a:schemeClr val="tx2"/>
                                </a:solidFill>
                                <a:latin typeface="Times New Roman" pitchFamily="18" charset="0"/>
                              </a:rPr>
                            </a:br>
                            <a:endParaRPr lang="en-US" sz="2700" b="1">
                              <a:solidFill>
                                <a:schemeClr val="tx2"/>
                              </a:solidFill>
                              <a:latin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4923E2" w:rsidRDefault="004923E2" w:rsidP="007E3B67">
      <w:pPr>
        <w:pStyle w:val="Subtitle"/>
        <w:rPr>
          <w:b/>
          <w:bCs/>
        </w:rPr>
      </w:pPr>
    </w:p>
    <w:p w:rsidR="00714A50" w:rsidRPr="00714A50" w:rsidRDefault="00714A50" w:rsidP="007E3B67">
      <w:pPr>
        <w:pStyle w:val="Subtitle"/>
      </w:pPr>
      <w:r w:rsidRPr="00714A50">
        <w:rPr>
          <w:b/>
          <w:bCs/>
        </w:rPr>
        <w:t xml:space="preserve">Atomic Absorption Spectroscopy </w:t>
      </w:r>
      <w:r w:rsidRPr="00714A50">
        <w:t xml:space="preserve">is a </w:t>
      </w:r>
      <w:proofErr w:type="spellStart"/>
      <w:r w:rsidRPr="00714A50">
        <w:t>spectroanalytical</w:t>
      </w:r>
      <w:proofErr w:type="spellEnd"/>
      <w:r w:rsidRPr="00714A50">
        <w:t xml:space="preserve"> technique used for the quantitative determination of metals employing the absorption of optical radiation (light) by free atoms in the gaseous state. Aspirating a solution of the sample into </w:t>
      </w:r>
      <w:r>
        <w:t xml:space="preserve">an atomization cell </w:t>
      </w:r>
      <w:r w:rsidRPr="00714A50">
        <w:t xml:space="preserve">aligned in the light beam allows specific quantitative determination of individual elements in the presence of others. Precise and accurate determinations can be made with ease and faster. </w:t>
      </w:r>
    </w:p>
    <w:p w:rsidR="00714A50" w:rsidRDefault="00714A50" w:rsidP="0013245D">
      <w:pPr>
        <w:pStyle w:val="Default"/>
        <w:spacing w:line="480" w:lineRule="auto"/>
        <w:ind w:left="720"/>
        <w:jc w:val="both"/>
      </w:pPr>
      <w:r>
        <w:t xml:space="preserve">                                                                                                                                               </w:t>
      </w:r>
    </w:p>
    <w:p w:rsidR="00714A50" w:rsidRPr="007E3B67" w:rsidRDefault="00714A50" w:rsidP="00714A50">
      <w:pPr>
        <w:pStyle w:val="Default"/>
        <w:spacing w:line="480" w:lineRule="auto"/>
        <w:jc w:val="both"/>
        <w:rPr>
          <w:color w:val="2B70FF" w:themeColor="accent6" w:themeTint="99"/>
        </w:rPr>
      </w:pPr>
      <w:r w:rsidRPr="007E3B67">
        <w:rPr>
          <w:b/>
          <w:bCs/>
          <w:color w:val="002676" w:themeColor="accent6" w:themeShade="BF"/>
        </w:rPr>
        <w:t>Mode:</w:t>
      </w:r>
      <w:r w:rsidRPr="007E3B67">
        <w:rPr>
          <w:b/>
          <w:bCs/>
          <w:color w:val="2B70FF" w:themeColor="accent6" w:themeTint="99"/>
        </w:rPr>
        <w:t xml:space="preserve"> </w:t>
      </w:r>
      <w:r w:rsidRPr="007E3B67">
        <w:rPr>
          <w:color w:val="2B70FF" w:themeColor="accent6" w:themeTint="99"/>
        </w:rPr>
        <w:t>Flame (analysis in ppm level) and Graphite fu</w:t>
      </w:r>
      <w:r w:rsidR="008C513C">
        <w:rPr>
          <w:color w:val="2B70FF" w:themeColor="accent6" w:themeTint="99"/>
        </w:rPr>
        <w:t>r</w:t>
      </w:r>
      <w:r w:rsidRPr="007E3B67">
        <w:rPr>
          <w:color w:val="2B70FF" w:themeColor="accent6" w:themeTint="99"/>
        </w:rPr>
        <w:t>nace (analysis in ppb level)</w:t>
      </w:r>
    </w:p>
    <w:p w:rsidR="004923E2" w:rsidRPr="004923E2" w:rsidRDefault="004923E2" w:rsidP="004923E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23E2">
        <w:rPr>
          <w:rFonts w:ascii="Times New Roman" w:hAnsi="Times New Roman" w:cs="Times New Roman"/>
          <w:b/>
          <w:bCs/>
          <w:sz w:val="28"/>
          <w:szCs w:val="28"/>
          <w:u w:val="single"/>
        </w:rPr>
        <w:t>SPECIFICATIONS:</w:t>
      </w:r>
    </w:p>
    <w:p w:rsidR="004923E2" w:rsidRPr="004923E2" w:rsidRDefault="004923E2" w:rsidP="004923E2">
      <w:pPr>
        <w:rPr>
          <w:rFonts w:ascii="Times New Roman" w:hAnsi="Times New Roman" w:cs="Times New Roman"/>
          <w:sz w:val="24"/>
          <w:szCs w:val="24"/>
        </w:rPr>
      </w:pPr>
      <w:r w:rsidRPr="004923E2">
        <w:rPr>
          <w:rFonts w:ascii="Times New Roman" w:hAnsi="Times New Roman" w:cs="Times New Roman"/>
          <w:sz w:val="24"/>
          <w:szCs w:val="24"/>
        </w:rPr>
        <w:t xml:space="preserve">Wavelength </w:t>
      </w:r>
      <w:proofErr w:type="gramStart"/>
      <w:r w:rsidRPr="004923E2">
        <w:rPr>
          <w:rFonts w:ascii="Times New Roman" w:hAnsi="Times New Roman" w:cs="Times New Roman"/>
          <w:sz w:val="24"/>
          <w:szCs w:val="24"/>
        </w:rPr>
        <w:t>range :</w:t>
      </w:r>
      <w:proofErr w:type="gramEnd"/>
      <w:r w:rsidRPr="004923E2">
        <w:rPr>
          <w:rFonts w:ascii="Times New Roman" w:hAnsi="Times New Roman" w:cs="Times New Roman"/>
          <w:sz w:val="24"/>
          <w:szCs w:val="24"/>
        </w:rPr>
        <w:t xml:space="preserve"> 190 – 900 nm</w:t>
      </w:r>
    </w:p>
    <w:p w:rsidR="004923E2" w:rsidRPr="004923E2" w:rsidRDefault="004923E2" w:rsidP="004923E2">
      <w:pPr>
        <w:rPr>
          <w:rFonts w:ascii="Times New Roman" w:hAnsi="Times New Roman" w:cs="Times New Roman"/>
          <w:sz w:val="24"/>
          <w:szCs w:val="24"/>
        </w:rPr>
      </w:pPr>
      <w:r w:rsidRPr="004923E2">
        <w:rPr>
          <w:rFonts w:ascii="Times New Roman" w:hAnsi="Times New Roman" w:cs="Times New Roman"/>
          <w:sz w:val="24"/>
          <w:szCs w:val="24"/>
        </w:rPr>
        <w:t xml:space="preserve">Diffraction </w:t>
      </w:r>
      <w:proofErr w:type="gramStart"/>
      <w:r w:rsidRPr="004923E2">
        <w:rPr>
          <w:rFonts w:ascii="Times New Roman" w:hAnsi="Times New Roman" w:cs="Times New Roman"/>
          <w:sz w:val="24"/>
          <w:szCs w:val="24"/>
        </w:rPr>
        <w:t>grating :</w:t>
      </w:r>
      <w:proofErr w:type="gramEnd"/>
      <w:r w:rsidRPr="004923E2">
        <w:rPr>
          <w:rFonts w:ascii="Times New Roman" w:hAnsi="Times New Roman" w:cs="Times New Roman"/>
          <w:sz w:val="24"/>
          <w:szCs w:val="24"/>
        </w:rPr>
        <w:t xml:space="preserve"> ≥ 1800 lines / mm</w:t>
      </w:r>
    </w:p>
    <w:p w:rsidR="004923E2" w:rsidRPr="004923E2" w:rsidRDefault="004923E2" w:rsidP="004923E2">
      <w:pPr>
        <w:rPr>
          <w:rFonts w:ascii="Times New Roman" w:hAnsi="Times New Roman" w:cs="Times New Roman"/>
          <w:sz w:val="24"/>
          <w:szCs w:val="24"/>
        </w:rPr>
      </w:pPr>
      <w:r w:rsidRPr="004923E2">
        <w:rPr>
          <w:rFonts w:ascii="Times New Roman" w:hAnsi="Times New Roman" w:cs="Times New Roman"/>
          <w:sz w:val="24"/>
          <w:szCs w:val="24"/>
        </w:rPr>
        <w:t>Auto samples for flame and furnace.</w:t>
      </w:r>
    </w:p>
    <w:p w:rsidR="004923E2" w:rsidRPr="004923E2" w:rsidRDefault="004923E2" w:rsidP="004923E2">
      <w:pPr>
        <w:rPr>
          <w:rFonts w:ascii="Times New Roman" w:hAnsi="Times New Roman" w:cs="Times New Roman"/>
          <w:sz w:val="24"/>
          <w:szCs w:val="24"/>
        </w:rPr>
      </w:pPr>
      <w:r w:rsidRPr="004923E2">
        <w:rPr>
          <w:rFonts w:ascii="Times New Roman" w:hAnsi="Times New Roman" w:cs="Times New Roman"/>
          <w:sz w:val="24"/>
          <w:szCs w:val="24"/>
        </w:rPr>
        <w:t xml:space="preserve">Hydride </w:t>
      </w:r>
      <w:proofErr w:type="spellStart"/>
      <w:r w:rsidRPr="004923E2">
        <w:rPr>
          <w:rFonts w:ascii="Times New Roman" w:hAnsi="Times New Roman" w:cs="Times New Roman"/>
          <w:sz w:val="24"/>
          <w:szCs w:val="24"/>
        </w:rPr>
        <w:t>Vapour</w:t>
      </w:r>
      <w:proofErr w:type="spellEnd"/>
      <w:r w:rsidRPr="004923E2">
        <w:rPr>
          <w:rFonts w:ascii="Times New Roman" w:hAnsi="Times New Roman" w:cs="Times New Roman"/>
          <w:sz w:val="24"/>
          <w:szCs w:val="24"/>
        </w:rPr>
        <w:t xml:space="preserve"> Generator for Toxic elements like As, Hg, Sb etc.</w:t>
      </w:r>
    </w:p>
    <w:p w:rsidR="00C82A12" w:rsidRPr="007E3B67" w:rsidRDefault="00EE0A99" w:rsidP="00714A50">
      <w:pPr>
        <w:pStyle w:val="Default"/>
        <w:spacing w:line="480" w:lineRule="auto"/>
        <w:jc w:val="both"/>
        <w:rPr>
          <w:b/>
          <w:bCs/>
          <w:color w:val="AA0042" w:themeColor="accent2" w:themeShade="BF"/>
        </w:rPr>
      </w:pPr>
      <w:r w:rsidRPr="007E3B67">
        <w:rPr>
          <w:b/>
          <w:bCs/>
          <w:color w:val="AA0042" w:themeColor="accent2" w:themeShade="BF"/>
        </w:rPr>
        <w:lastRenderedPageBreak/>
        <w:t>L</w:t>
      </w:r>
      <w:r w:rsidR="00C82A12" w:rsidRPr="007E3B67">
        <w:rPr>
          <w:b/>
          <w:bCs/>
          <w:color w:val="AA0042" w:themeColor="accent2" w:themeShade="BF"/>
        </w:rPr>
        <w:t>amps available for analysis: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02221" w:rsidTr="00C82A12">
        <w:tc>
          <w:tcPr>
            <w:tcW w:w="1915" w:type="dxa"/>
          </w:tcPr>
          <w:p w:rsidR="007E3B67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proofErr w:type="spellStart"/>
            <w:r w:rsidRPr="007E3B67">
              <w:rPr>
                <w:color w:val="74005E" w:themeColor="accent3" w:themeShade="BF"/>
              </w:rPr>
              <w:t>Aluminium</w:t>
            </w:r>
            <w:proofErr w:type="spellEnd"/>
            <w:r w:rsidR="00EE0A99" w:rsidRPr="007E3B67">
              <w:rPr>
                <w:color w:val="74005E" w:themeColor="accent3" w:themeShade="BF"/>
              </w:rPr>
              <w:t xml:space="preserve"> (Al)</w:t>
            </w: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Calcium</w:t>
            </w:r>
            <w:r w:rsidR="00EE0A99" w:rsidRPr="007E3B67">
              <w:rPr>
                <w:color w:val="74005E" w:themeColor="accent3" w:themeShade="BF"/>
              </w:rPr>
              <w:t xml:space="preserve"> (Ca)</w:t>
            </w: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Iron</w:t>
            </w:r>
            <w:r w:rsidR="00EE0A99" w:rsidRPr="007E3B67">
              <w:rPr>
                <w:color w:val="74005E" w:themeColor="accent3" w:themeShade="BF"/>
              </w:rPr>
              <w:t xml:space="preserve"> (Fe)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Nickel</w:t>
            </w:r>
            <w:r w:rsidR="00EE0A99" w:rsidRPr="007E3B67">
              <w:rPr>
                <w:color w:val="74005E" w:themeColor="accent3" w:themeShade="BF"/>
              </w:rPr>
              <w:t xml:space="preserve"> (Ni)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6" w:type="dxa"/>
          </w:tcPr>
          <w:p w:rsidR="00302221" w:rsidRPr="007E3B67" w:rsidRDefault="00EE0A99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Strontium (</w:t>
            </w:r>
            <w:proofErr w:type="spellStart"/>
            <w:r w:rsidRPr="007E3B67">
              <w:rPr>
                <w:color w:val="74005E" w:themeColor="accent3" w:themeShade="BF"/>
              </w:rPr>
              <w:t>Sr</w:t>
            </w:r>
            <w:proofErr w:type="spellEnd"/>
            <w:r w:rsidRPr="007E3B67">
              <w:rPr>
                <w:color w:val="74005E" w:themeColor="accent3" w:themeShade="BF"/>
              </w:rPr>
              <w:t>)</w:t>
            </w:r>
          </w:p>
        </w:tc>
      </w:tr>
      <w:tr w:rsidR="00302221" w:rsidTr="00C82A12"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Antimony</w:t>
            </w:r>
            <w:r w:rsidR="00EE0A99" w:rsidRPr="007E3B67">
              <w:rPr>
                <w:color w:val="74005E" w:themeColor="accent3" w:themeShade="BF"/>
              </w:rPr>
              <w:t xml:space="preserve"> (Sb)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Chromium</w:t>
            </w:r>
            <w:r w:rsidR="00EE0A99" w:rsidRPr="007E3B67">
              <w:rPr>
                <w:color w:val="74005E" w:themeColor="accent3" w:themeShade="BF"/>
              </w:rPr>
              <w:t xml:space="preserve"> (Cr)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Lead</w:t>
            </w:r>
            <w:r w:rsidR="00EE0A99" w:rsidRPr="007E3B67">
              <w:rPr>
                <w:color w:val="74005E" w:themeColor="accent3" w:themeShade="BF"/>
              </w:rPr>
              <w:t xml:space="preserve"> (</w:t>
            </w:r>
            <w:proofErr w:type="spellStart"/>
            <w:r w:rsidR="00EE0A99" w:rsidRPr="007E3B67">
              <w:rPr>
                <w:color w:val="74005E" w:themeColor="accent3" w:themeShade="BF"/>
              </w:rPr>
              <w:t>Pb</w:t>
            </w:r>
            <w:proofErr w:type="spellEnd"/>
            <w:r w:rsidR="00EE0A99" w:rsidRPr="007E3B67">
              <w:rPr>
                <w:color w:val="74005E" w:themeColor="accent3" w:themeShade="BF"/>
              </w:rPr>
              <w:t>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Potassium</w:t>
            </w:r>
            <w:r w:rsidR="00EE0A99" w:rsidRPr="007E3B67">
              <w:rPr>
                <w:color w:val="74005E" w:themeColor="accent3" w:themeShade="BF"/>
              </w:rPr>
              <w:t xml:space="preserve"> (K)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6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Tungsten</w:t>
            </w:r>
            <w:r w:rsidR="00EE0A99" w:rsidRPr="007E3B67">
              <w:rPr>
                <w:color w:val="74005E" w:themeColor="accent3" w:themeShade="BF"/>
              </w:rPr>
              <w:t xml:space="preserve"> (W)</w:t>
            </w:r>
          </w:p>
        </w:tc>
      </w:tr>
      <w:tr w:rsidR="00302221" w:rsidTr="00C82A12"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Arsenic</w:t>
            </w:r>
            <w:r w:rsidR="00EE0A99" w:rsidRPr="007E3B67">
              <w:rPr>
                <w:color w:val="74005E" w:themeColor="accent3" w:themeShade="BF"/>
              </w:rPr>
              <w:t xml:space="preserve"> (As)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Cobalt</w:t>
            </w:r>
            <w:r w:rsidR="00EE0A99" w:rsidRPr="007E3B67">
              <w:rPr>
                <w:color w:val="74005E" w:themeColor="accent3" w:themeShade="BF"/>
              </w:rPr>
              <w:t xml:space="preserve"> (Co)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EE0A99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L</w:t>
            </w:r>
            <w:r w:rsidR="00302221" w:rsidRPr="007E3B67">
              <w:rPr>
                <w:color w:val="74005E" w:themeColor="accent3" w:themeShade="BF"/>
              </w:rPr>
              <w:t>ithium</w:t>
            </w:r>
            <w:r w:rsidRPr="007E3B67">
              <w:rPr>
                <w:color w:val="74005E" w:themeColor="accent3" w:themeShade="BF"/>
              </w:rPr>
              <w:t xml:space="preserve"> (Li)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Selenium</w:t>
            </w:r>
            <w:r w:rsidR="00EE0A99" w:rsidRPr="007E3B67">
              <w:rPr>
                <w:color w:val="74005E" w:themeColor="accent3" w:themeShade="BF"/>
              </w:rPr>
              <w:t xml:space="preserve"> (Se)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6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Zinc</w:t>
            </w:r>
            <w:r w:rsidR="00EE0A99" w:rsidRPr="007E3B67">
              <w:rPr>
                <w:color w:val="74005E" w:themeColor="accent3" w:themeShade="BF"/>
              </w:rPr>
              <w:t xml:space="preserve"> (Zn)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</w:tr>
      <w:tr w:rsidR="00302221" w:rsidTr="00C82A12"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Bismuth</w:t>
            </w:r>
            <w:r w:rsidR="00EE0A99" w:rsidRPr="007E3B67">
              <w:rPr>
                <w:color w:val="74005E" w:themeColor="accent3" w:themeShade="BF"/>
              </w:rPr>
              <w:t xml:space="preserve"> (Bi)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Copper</w:t>
            </w:r>
            <w:r w:rsidR="00EE0A99" w:rsidRPr="007E3B67">
              <w:rPr>
                <w:color w:val="74005E" w:themeColor="accent3" w:themeShade="BF"/>
              </w:rPr>
              <w:t xml:space="preserve"> (Cu)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Magnesium</w:t>
            </w:r>
            <w:r w:rsidR="00EE0A99" w:rsidRPr="007E3B67">
              <w:rPr>
                <w:color w:val="74005E" w:themeColor="accent3" w:themeShade="BF"/>
              </w:rPr>
              <w:t xml:space="preserve"> (Mg)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Silver</w:t>
            </w:r>
            <w:r w:rsidR="00EE0A99" w:rsidRPr="007E3B67">
              <w:rPr>
                <w:color w:val="74005E" w:themeColor="accent3" w:themeShade="BF"/>
              </w:rPr>
              <w:t xml:space="preserve"> (Ag)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6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</w:tr>
      <w:tr w:rsidR="00302221" w:rsidTr="00C82A12"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Cadmium</w:t>
            </w:r>
            <w:r w:rsidR="00EE0A99" w:rsidRPr="007E3B67">
              <w:rPr>
                <w:color w:val="74005E" w:themeColor="accent3" w:themeShade="BF"/>
              </w:rPr>
              <w:t xml:space="preserve"> (Cd)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Gold</w:t>
            </w:r>
            <w:r w:rsidR="00EE0A99" w:rsidRPr="007E3B67">
              <w:rPr>
                <w:color w:val="74005E" w:themeColor="accent3" w:themeShade="BF"/>
              </w:rPr>
              <w:t xml:space="preserve"> (Au)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Manganese</w:t>
            </w:r>
            <w:r w:rsidR="00EE0A99" w:rsidRPr="007E3B67">
              <w:rPr>
                <w:color w:val="74005E" w:themeColor="accent3" w:themeShade="BF"/>
              </w:rPr>
              <w:t xml:space="preserve"> (</w:t>
            </w:r>
            <w:proofErr w:type="spellStart"/>
            <w:r w:rsidR="00EE0A99" w:rsidRPr="007E3B67">
              <w:rPr>
                <w:color w:val="74005E" w:themeColor="accent3" w:themeShade="BF"/>
              </w:rPr>
              <w:t>Mn</w:t>
            </w:r>
            <w:proofErr w:type="spellEnd"/>
            <w:r w:rsidR="00EE0A99" w:rsidRPr="007E3B67">
              <w:rPr>
                <w:color w:val="74005E" w:themeColor="accent3" w:themeShade="BF"/>
              </w:rPr>
              <w:t>)</w:t>
            </w:r>
          </w:p>
        </w:tc>
        <w:tc>
          <w:tcPr>
            <w:tcW w:w="1915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  <w:r w:rsidRPr="007E3B67">
              <w:rPr>
                <w:color w:val="74005E" w:themeColor="accent3" w:themeShade="BF"/>
              </w:rPr>
              <w:t>Sodium</w:t>
            </w:r>
            <w:r w:rsidR="00EE0A99" w:rsidRPr="007E3B67">
              <w:rPr>
                <w:color w:val="74005E" w:themeColor="accent3" w:themeShade="BF"/>
              </w:rPr>
              <w:t xml:space="preserve"> (Na)</w:t>
            </w:r>
          </w:p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  <w:tc>
          <w:tcPr>
            <w:tcW w:w="1916" w:type="dxa"/>
          </w:tcPr>
          <w:p w:rsidR="00302221" w:rsidRPr="007E3B67" w:rsidRDefault="00302221" w:rsidP="007E3B67">
            <w:pPr>
              <w:pStyle w:val="Default"/>
              <w:spacing w:line="480" w:lineRule="auto"/>
              <w:jc w:val="center"/>
              <w:rPr>
                <w:color w:val="74005E" w:themeColor="accent3" w:themeShade="BF"/>
              </w:rPr>
            </w:pPr>
          </w:p>
        </w:tc>
      </w:tr>
    </w:tbl>
    <w:p w:rsidR="00C82A12" w:rsidRDefault="00C82A12" w:rsidP="00714A50">
      <w:pPr>
        <w:pStyle w:val="Default"/>
        <w:spacing w:line="480" w:lineRule="auto"/>
        <w:jc w:val="both"/>
      </w:pPr>
    </w:p>
    <w:p w:rsidR="007E3B67" w:rsidRDefault="007E3B67" w:rsidP="00714A50">
      <w:pPr>
        <w:pStyle w:val="Default"/>
        <w:spacing w:line="480" w:lineRule="auto"/>
        <w:jc w:val="both"/>
      </w:pPr>
    </w:p>
    <w:p w:rsidR="007E3B67" w:rsidRDefault="007E3B67" w:rsidP="00714A50">
      <w:pPr>
        <w:pStyle w:val="Default"/>
        <w:spacing w:line="480" w:lineRule="auto"/>
        <w:jc w:val="both"/>
      </w:pPr>
    </w:p>
    <w:p w:rsidR="007E3B67" w:rsidRPr="007E3B67" w:rsidRDefault="007E3B67" w:rsidP="00714A50">
      <w:pPr>
        <w:pStyle w:val="Default"/>
        <w:spacing w:line="480" w:lineRule="auto"/>
        <w:jc w:val="both"/>
        <w:rPr>
          <w:rFonts w:ascii="Algerian" w:hAnsi="Algerian"/>
          <w:color w:val="9C0041" w:themeColor="accent1" w:themeShade="80"/>
        </w:rPr>
      </w:pPr>
    </w:p>
    <w:p w:rsidR="007E3B67" w:rsidRPr="007E3B67" w:rsidRDefault="007E3B67" w:rsidP="00714A50">
      <w:pPr>
        <w:pStyle w:val="Default"/>
        <w:spacing w:line="480" w:lineRule="auto"/>
        <w:jc w:val="both"/>
        <w:rPr>
          <w:rFonts w:ascii="Algerian" w:hAnsi="Algerian"/>
          <w:color w:val="9C0041" w:themeColor="accent1" w:themeShade="80"/>
        </w:rPr>
      </w:pPr>
      <w:bookmarkStart w:id="0" w:name="_GoBack"/>
      <w:bookmarkEnd w:id="0"/>
    </w:p>
    <w:sectPr w:rsidR="007E3B67" w:rsidRPr="007E3B67" w:rsidSect="001C6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4A50"/>
    <w:rsid w:val="0013245D"/>
    <w:rsid w:val="001C60EE"/>
    <w:rsid w:val="00302221"/>
    <w:rsid w:val="004923E2"/>
    <w:rsid w:val="0055203F"/>
    <w:rsid w:val="00714A50"/>
    <w:rsid w:val="00770D68"/>
    <w:rsid w:val="007E3B67"/>
    <w:rsid w:val="00883E8D"/>
    <w:rsid w:val="008C513C"/>
    <w:rsid w:val="00AB4EB5"/>
    <w:rsid w:val="00BB03B4"/>
    <w:rsid w:val="00C82A12"/>
    <w:rsid w:val="00E66746"/>
    <w:rsid w:val="00E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1C2E2-E1E7-4AE5-925F-A91770BC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7E3B67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3B67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 Shukla</dc:creator>
  <cp:lastModifiedBy>ISD IMTECH</cp:lastModifiedBy>
  <cp:revision>9</cp:revision>
  <dcterms:created xsi:type="dcterms:W3CDTF">2015-07-16T08:41:00Z</dcterms:created>
  <dcterms:modified xsi:type="dcterms:W3CDTF">2016-09-08T09:43:00Z</dcterms:modified>
</cp:coreProperties>
</file>